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F6B7" w14:textId="12F7086B" w:rsidR="006C7900" w:rsidRDefault="006C790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27137B" wp14:editId="6F0B1940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72400" cy="1005896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Sadsada</w:t>
      </w:r>
    </w:p>
    <w:p w14:paraId="70DD8BD7" w14:textId="2C94902E" w:rsidR="006C7900" w:rsidRDefault="006C7900">
      <w:r>
        <w:rPr>
          <w:noProof/>
        </w:rPr>
        <w:t>dasda</w:t>
      </w:r>
    </w:p>
    <w:sectPr w:rsidR="006C79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00"/>
    <w:rsid w:val="006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CD85"/>
  <w15:chartTrackingRefBased/>
  <w15:docId w15:val="{71751F9D-2FCB-4B98-8AF6-3776B0B1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Romo Beltrán</dc:creator>
  <cp:keywords/>
  <dc:description/>
  <cp:lastModifiedBy>Luis  Romo Beltrán</cp:lastModifiedBy>
  <cp:revision>1</cp:revision>
  <dcterms:created xsi:type="dcterms:W3CDTF">2021-09-07T18:13:00Z</dcterms:created>
  <dcterms:modified xsi:type="dcterms:W3CDTF">2021-09-07T18:15:00Z</dcterms:modified>
</cp:coreProperties>
</file>